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F" w:rsidRPr="009A60BF" w:rsidRDefault="009A60BF" w:rsidP="009A60BF">
      <w:pPr>
        <w:pStyle w:val="Heading4"/>
        <w:rPr>
          <w:u w:val="single"/>
        </w:rPr>
      </w:pPr>
      <w:r w:rsidRPr="009A60BF">
        <w:rPr>
          <w:u w:val="single"/>
        </w:rPr>
        <w:t>The Main Clause</w:t>
      </w:r>
    </w:p>
    <w:p w:rsidR="009A60BF" w:rsidRPr="009A60BF" w:rsidRDefault="009A60BF" w:rsidP="009A60BF">
      <w:pPr>
        <w:pStyle w:val="Heading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How to r</w:t>
      </w:r>
      <w:r w:rsidRPr="009A60BF">
        <w:rPr>
          <w:sz w:val="28"/>
          <w:szCs w:val="28"/>
        </w:rPr>
        <w:t xml:space="preserve">ecognize a </w:t>
      </w:r>
      <w:r w:rsidRPr="009A60BF">
        <w:rPr>
          <w:rStyle w:val="special021"/>
          <w:b/>
          <w:bCs/>
          <w:sz w:val="28"/>
          <w:szCs w:val="28"/>
        </w:rPr>
        <w:t>main clause</w:t>
      </w:r>
      <w:r w:rsidRPr="009A60BF">
        <w:rPr>
          <w:sz w:val="28"/>
          <w:szCs w:val="28"/>
        </w:rPr>
        <w:t xml:space="preserve"> when you see one.</w:t>
      </w:r>
    </w:p>
    <w:p w:rsidR="009A60BF" w:rsidRPr="009A60BF" w:rsidRDefault="009A60BF" w:rsidP="009A60BF">
      <w:pPr>
        <w:pStyle w:val="NormalWeb"/>
        <w:shd w:val="clear" w:color="auto" w:fill="FFFFFF"/>
      </w:pPr>
      <w:r w:rsidRPr="009A60BF">
        <w:t>A main clause—sometimes called an</w:t>
      </w:r>
      <w:r w:rsidRPr="009A60BF">
        <w:rPr>
          <w:rStyle w:val="Emphasis"/>
        </w:rPr>
        <w:t xml:space="preserve"> independent clause</w:t>
      </w:r>
      <w:r w:rsidRPr="009A60BF">
        <w:t xml:space="preserve">—must contain a </w:t>
      </w:r>
      <w:hyperlink r:id="rId4" w:history="1">
        <w:r w:rsidRPr="009A60BF">
          <w:rPr>
            <w:rStyle w:val="Hyperlink"/>
          </w:rPr>
          <w:t>subject</w:t>
        </w:r>
      </w:hyperlink>
      <w:r w:rsidRPr="009A60BF">
        <w:t xml:space="preserve"> and a </w:t>
      </w:r>
      <w:hyperlink r:id="rId5" w:history="1">
        <w:r w:rsidRPr="009A60BF">
          <w:rPr>
            <w:rStyle w:val="Hyperlink"/>
          </w:rPr>
          <w:t>verb</w:t>
        </w:r>
      </w:hyperlink>
      <w:r w:rsidRPr="009A60BF">
        <w:t xml:space="preserve"> as well as express a complete thought. Look at the examples below:</w:t>
      </w:r>
    </w:p>
    <w:p w:rsidR="009A60BF" w:rsidRDefault="009A60BF" w:rsidP="009A60BF">
      <w:pPr>
        <w:pStyle w:val="example"/>
        <w:shd w:val="clear" w:color="auto" w:fill="FFFFFF"/>
      </w:pPr>
      <w:r>
        <w:t>Diane kicked the soda machine.</w:t>
      </w:r>
    </w:p>
    <w:p w:rsidR="009A60BF" w:rsidRDefault="009A60BF" w:rsidP="009A60BF">
      <w:pPr>
        <w:pStyle w:val="NormalWeb"/>
        <w:shd w:val="clear" w:color="auto" w:fill="FFFFFF"/>
      </w:pPr>
      <w:r>
        <w:rPr>
          <w:rStyle w:val="special021"/>
        </w:rPr>
        <w:t>Diane</w:t>
      </w:r>
      <w:r>
        <w:t xml:space="preserve"> = the subject; </w:t>
      </w:r>
      <w:r>
        <w:rPr>
          <w:rStyle w:val="special021"/>
        </w:rPr>
        <w:t>kicked</w:t>
      </w:r>
      <w:r>
        <w:t xml:space="preserve"> = the verb.</w:t>
      </w:r>
    </w:p>
    <w:p w:rsidR="009A60BF" w:rsidRDefault="009A60BF" w:rsidP="009A60BF">
      <w:pPr>
        <w:pStyle w:val="example"/>
        <w:shd w:val="clear" w:color="auto" w:fill="FFFFFF"/>
      </w:pPr>
      <w:r>
        <w:t>A giant spider has made its home behind the shampoo bottle.</w:t>
      </w:r>
    </w:p>
    <w:p w:rsidR="009A60BF" w:rsidRDefault="009A60BF" w:rsidP="009A60BF">
      <w:pPr>
        <w:pStyle w:val="NormalWeb"/>
        <w:shd w:val="clear" w:color="auto" w:fill="FFFFFF"/>
      </w:pPr>
      <w:r>
        <w:rPr>
          <w:rStyle w:val="special021"/>
        </w:rPr>
        <w:t>Spider</w:t>
      </w:r>
      <w:r>
        <w:t xml:space="preserve"> = the subject; </w:t>
      </w:r>
      <w:r>
        <w:rPr>
          <w:rStyle w:val="special021"/>
        </w:rPr>
        <w:t>has made</w:t>
      </w:r>
      <w:r>
        <w:t xml:space="preserve"> = the verb.</w:t>
      </w:r>
    </w:p>
    <w:p w:rsidR="009A60BF" w:rsidRDefault="009A60BF" w:rsidP="009A60BF">
      <w:pPr>
        <w:pStyle w:val="example"/>
        <w:shd w:val="clear" w:color="auto" w:fill="FFFFFF"/>
      </w:pPr>
      <w:r>
        <w:t>S</w:t>
      </w:r>
      <w:r w:rsidR="00FB6239">
        <w:t>usan</w:t>
      </w:r>
      <w:r>
        <w:t xml:space="preserve"> and Michele are skipping their chemistry class to sit by the lake.</w:t>
      </w:r>
    </w:p>
    <w:p w:rsidR="009A60BF" w:rsidRDefault="00FB6239" w:rsidP="009A60BF">
      <w:pPr>
        <w:pStyle w:val="NormalWeb"/>
        <w:shd w:val="clear" w:color="auto" w:fill="FFFFFF"/>
      </w:pPr>
      <w:r>
        <w:rPr>
          <w:rStyle w:val="special021"/>
        </w:rPr>
        <w:t>Susan</w:t>
      </w:r>
      <w:r w:rsidR="009A60BF">
        <w:t xml:space="preserve">, </w:t>
      </w:r>
      <w:r w:rsidR="009A60BF">
        <w:rPr>
          <w:rStyle w:val="special021"/>
        </w:rPr>
        <w:t>Michele</w:t>
      </w:r>
      <w:r w:rsidR="009A60BF">
        <w:t xml:space="preserve"> = the subjects; </w:t>
      </w:r>
      <w:r w:rsidR="009A60BF">
        <w:rPr>
          <w:rStyle w:val="special021"/>
        </w:rPr>
        <w:t>are skipping</w:t>
      </w:r>
      <w:r w:rsidR="009A60BF">
        <w:t xml:space="preserve"> = the verb.</w:t>
      </w:r>
    </w:p>
    <w:p w:rsidR="009A60BF" w:rsidRDefault="009A60BF" w:rsidP="009A60BF">
      <w:pPr>
        <w:pStyle w:val="Heading4"/>
        <w:shd w:val="clear" w:color="auto" w:fill="FFFFFF"/>
      </w:pPr>
      <w:r>
        <w:t>Remember this important point:</w:t>
      </w:r>
    </w:p>
    <w:p w:rsidR="009A60BF" w:rsidRDefault="009A60BF" w:rsidP="009A60BF">
      <w:pPr>
        <w:pStyle w:val="NormalWeb"/>
        <w:shd w:val="clear" w:color="auto" w:fill="FFFFFF"/>
      </w:pPr>
      <w:r>
        <w:t xml:space="preserve">You must have at least one main clause in every </w:t>
      </w:r>
      <w:hyperlink r:id="rId6" w:history="1">
        <w:r>
          <w:rPr>
            <w:rStyle w:val="Hyperlink"/>
          </w:rPr>
          <w:t>sentence</w:t>
        </w:r>
      </w:hyperlink>
      <w:r>
        <w:t xml:space="preserve">. A main clause is </w:t>
      </w:r>
      <w:r>
        <w:rPr>
          <w:rStyle w:val="Emphasis"/>
        </w:rPr>
        <w:t>the</w:t>
      </w:r>
      <w:r>
        <w:t xml:space="preserve"> essential component. Without a main clause, a group of words is </w:t>
      </w:r>
      <w:r w:rsidR="00FB6239">
        <w:t>not a sentence</w:t>
      </w:r>
      <w:r>
        <w:t>.</w:t>
      </w:r>
    </w:p>
    <w:p w:rsidR="009A60BF" w:rsidRDefault="009A60BF" w:rsidP="009A60BF">
      <w:pPr>
        <w:pStyle w:val="NormalWeb"/>
        <w:shd w:val="clear" w:color="auto" w:fill="FFFFFF"/>
      </w:pPr>
      <w:r>
        <w:t xml:space="preserve">A sentence can contain any number of other grammatical units, such as </w:t>
      </w:r>
      <w:hyperlink r:id="rId7" w:history="1">
        <w:r>
          <w:rPr>
            <w:rStyle w:val="Hyperlink"/>
          </w:rPr>
          <w:t>prepositional phrases</w:t>
        </w:r>
      </w:hyperlink>
      <w:r>
        <w:t xml:space="preserve">, </w:t>
      </w:r>
      <w:hyperlink r:id="rId8" w:history="1">
        <w:r>
          <w:rPr>
            <w:rStyle w:val="Hyperlink"/>
          </w:rPr>
          <w:t>subordinate clauses</w:t>
        </w:r>
      </w:hyperlink>
      <w:r>
        <w:t xml:space="preserve">, etc. It must, however, contain </w:t>
      </w:r>
      <w:r>
        <w:rPr>
          <w:rStyle w:val="Emphasis"/>
        </w:rPr>
        <w:t>at least</w:t>
      </w:r>
      <w:r>
        <w:t xml:space="preserve"> one main clause. Take a look at the example below:</w:t>
      </w:r>
    </w:p>
    <w:p w:rsidR="009A60BF" w:rsidRDefault="009A60BF" w:rsidP="009A60BF">
      <w:pPr>
        <w:pStyle w:val="example"/>
        <w:shd w:val="clear" w:color="auto" w:fill="FFFFFF"/>
      </w:pPr>
      <w:r>
        <w:rPr>
          <w:rStyle w:val="special021"/>
        </w:rPr>
        <w:t>S</w:t>
      </w:r>
      <w:r w:rsidR="00FB6239">
        <w:rPr>
          <w:rStyle w:val="special021"/>
        </w:rPr>
        <w:t>tephanie</w:t>
      </w:r>
      <w:r>
        <w:rPr>
          <w:rStyle w:val="special021"/>
        </w:rPr>
        <w:t xml:space="preserve"> realized</w:t>
      </w:r>
      <w:r>
        <w:t xml:space="preserve"> that a cheeseburger was no longer appetizing.</w:t>
      </w:r>
    </w:p>
    <w:p w:rsidR="009A60BF" w:rsidRDefault="009A60BF" w:rsidP="009A60BF">
      <w:pPr>
        <w:pStyle w:val="NormalWeb"/>
        <w:shd w:val="clear" w:color="auto" w:fill="FFFFFF"/>
      </w:pPr>
      <w:r>
        <w:rPr>
          <w:rStyle w:val="special021"/>
        </w:rPr>
        <w:t>S</w:t>
      </w:r>
      <w:r w:rsidR="00FB6239">
        <w:rPr>
          <w:rStyle w:val="special021"/>
        </w:rPr>
        <w:t xml:space="preserve">tephanie </w:t>
      </w:r>
      <w:r>
        <w:rPr>
          <w:rStyle w:val="special021"/>
        </w:rPr>
        <w:t>realized</w:t>
      </w:r>
      <w:r>
        <w:t xml:space="preserve"> = the main clause.</w:t>
      </w:r>
    </w:p>
    <w:p w:rsidR="009A60BF" w:rsidRDefault="009A60BF" w:rsidP="009A60BF">
      <w:pPr>
        <w:pStyle w:val="NormalWeb"/>
        <w:shd w:val="clear" w:color="auto" w:fill="FFFFFF"/>
      </w:pPr>
      <w:r>
        <w:rPr>
          <w:rStyle w:val="special021"/>
        </w:rPr>
        <w:t>that a cheeseburger was no longer appetizing</w:t>
      </w:r>
      <w:r>
        <w:t xml:space="preserve"> = subordinate clause.</w:t>
      </w:r>
    </w:p>
    <w:p w:rsidR="009A60BF" w:rsidRDefault="009A60BF" w:rsidP="009A60BF">
      <w:pPr>
        <w:pStyle w:val="Heading4"/>
        <w:shd w:val="clear" w:color="auto" w:fill="FFFFFF"/>
      </w:pPr>
      <w:r>
        <w:lastRenderedPageBreak/>
        <w:t>Do not confuse a main clause with a subordinate clause.</w:t>
      </w:r>
    </w:p>
    <w:p w:rsidR="009A60BF" w:rsidRDefault="009A60BF" w:rsidP="009A60BF">
      <w:pPr>
        <w:pStyle w:val="NormalWeb"/>
        <w:shd w:val="clear" w:color="auto" w:fill="FFFFFF"/>
      </w:pPr>
      <w:r>
        <w:t xml:space="preserve">When you place a </w:t>
      </w:r>
      <w:hyperlink r:id="rId9" w:history="1">
        <w:r>
          <w:rPr>
            <w:rStyle w:val="Hyperlink"/>
          </w:rPr>
          <w:t>subordinate conjunction</w:t>
        </w:r>
      </w:hyperlink>
      <w:r>
        <w:t xml:space="preserve"> in front of a subject and verb, you will no longer have a main clause (complete thought). The group of words becomes a subordinate clause, like these examples:</w:t>
      </w:r>
    </w:p>
    <w:p w:rsidR="009A60BF" w:rsidRDefault="009A60BF" w:rsidP="009A60BF">
      <w:pPr>
        <w:pStyle w:val="example"/>
        <w:shd w:val="clear" w:color="auto" w:fill="FFFFFF"/>
      </w:pPr>
      <w:r>
        <w:rPr>
          <w:rStyle w:val="special021"/>
        </w:rPr>
        <w:t>When</w:t>
      </w:r>
      <w:r>
        <w:t xml:space="preserve"> Diane kicked the soda machine ...</w:t>
      </w:r>
    </w:p>
    <w:p w:rsidR="009A60BF" w:rsidRDefault="009A60BF" w:rsidP="009A60BF">
      <w:pPr>
        <w:pStyle w:val="NormalWeb"/>
        <w:shd w:val="clear" w:color="auto" w:fill="FFFFFF"/>
      </w:pPr>
      <w:r>
        <w:t xml:space="preserve">When Diane kicked it, what happened? Did the soda machine cough up her drink? Did the soda machine fall on top of poor Diane, crushing her underneath? Did </w:t>
      </w:r>
      <w:r w:rsidR="002F2FB8">
        <w:t>coins</w:t>
      </w:r>
      <w:r>
        <w:t xml:space="preserve"> start shooting out of the coin return slot? Because you no longer have a complete thought, you no longer have a main clause.</w:t>
      </w:r>
    </w:p>
    <w:p w:rsidR="00BB530F" w:rsidRPr="00BB530F" w:rsidRDefault="00BB530F" w:rsidP="00BB530F">
      <w:pPr>
        <w:pStyle w:val="Heading4"/>
        <w:rPr>
          <w:kern w:val="36"/>
          <w:u w:val="single"/>
        </w:rPr>
      </w:pPr>
      <w:r w:rsidRPr="00BB530F">
        <w:rPr>
          <w:kern w:val="36"/>
          <w:u w:val="single"/>
        </w:rPr>
        <w:t>The Subordinate Clause</w:t>
      </w:r>
    </w:p>
    <w:p w:rsidR="00BB530F" w:rsidRPr="00BB530F" w:rsidRDefault="00BB530F" w:rsidP="00BB530F">
      <w:pPr>
        <w:shd w:val="clear" w:color="auto" w:fill="FFFFFF"/>
        <w:spacing w:before="66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d-ID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d-ID"/>
        </w:rPr>
        <w:t>How to r</w:t>
      </w:r>
      <w:r w:rsidRPr="00BB530F">
        <w:rPr>
          <w:rFonts w:ascii="Arial" w:eastAsia="Times New Roman" w:hAnsi="Arial" w:cs="Arial"/>
          <w:b/>
          <w:bCs/>
          <w:color w:val="000000"/>
          <w:sz w:val="28"/>
          <w:szCs w:val="28"/>
          <w:lang w:eastAsia="id-ID"/>
        </w:rPr>
        <w:t xml:space="preserve">ecognize a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subordinate clause</w:t>
      </w:r>
      <w:r w:rsidRPr="00BB530F">
        <w:rPr>
          <w:rFonts w:ascii="Arial" w:eastAsia="Times New Roman" w:hAnsi="Arial" w:cs="Arial"/>
          <w:b/>
          <w:bCs/>
          <w:color w:val="000000"/>
          <w:sz w:val="28"/>
          <w:szCs w:val="28"/>
          <w:lang w:eastAsia="id-ID"/>
        </w:rPr>
        <w:t xml:space="preserve"> when you see one.</w:t>
      </w:r>
    </w:p>
    <w:p w:rsidR="00BB530F" w:rsidRPr="00BB530F" w:rsidRDefault="00BB530F" w:rsidP="00BB530F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A subordinate clause—also called a </w:t>
      </w:r>
      <w:r w:rsidRPr="00BB530F">
        <w:rPr>
          <w:rFonts w:ascii="Arial" w:eastAsia="Times New Roman" w:hAnsi="Arial" w:cs="Arial"/>
          <w:i/>
          <w:iCs/>
          <w:color w:val="000000"/>
          <w:sz w:val="28"/>
          <w:szCs w:val="28"/>
          <w:lang w:eastAsia="id-ID"/>
        </w:rPr>
        <w:t>dependent clause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—will begin with a </w:t>
      </w:r>
      <w:hyperlink r:id="rId10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subordinate conjunction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or a </w:t>
      </w:r>
      <w:hyperlink r:id="rId11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relative pronoun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and will contain both a </w:t>
      </w:r>
      <w:hyperlink r:id="rId12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subject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and a </w:t>
      </w:r>
      <w:hyperlink r:id="rId13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verb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. This combination of words will </w:t>
      </w:r>
      <w:r w:rsidRPr="00BB530F">
        <w:rPr>
          <w:rFonts w:ascii="Arial" w:eastAsia="Times New Roman" w:hAnsi="Arial" w:cs="Arial"/>
          <w:i/>
          <w:iCs/>
          <w:color w:val="000000"/>
          <w:sz w:val="28"/>
          <w:szCs w:val="28"/>
          <w:lang w:eastAsia="id-ID"/>
        </w:rPr>
        <w:t>not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form a </w:t>
      </w:r>
      <w:hyperlink r:id="rId14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complete sentence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A subordinate clause 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>make</w:t>
      </w:r>
      <w:r>
        <w:rPr>
          <w:rFonts w:ascii="Arial" w:eastAsia="Times New Roman" w:hAnsi="Arial" w:cs="Arial"/>
          <w:color w:val="000000"/>
          <w:sz w:val="28"/>
          <w:szCs w:val="28"/>
          <w:lang w:eastAsia="id-ID"/>
        </w:rPr>
        <w:t>s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a reader want additional information to finish the thought.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</w:pPr>
      <w:r w:rsidRPr="00EC4D9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t>Subordinate conjunction list</w:t>
      </w:r>
      <w:r w:rsidRPr="00BB530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t>:</w:t>
      </w:r>
    </w:p>
    <w:tbl>
      <w:tblPr>
        <w:tblW w:w="4750" w:type="pct"/>
        <w:tblCellSpacing w:w="15" w:type="dxa"/>
        <w:tblInd w:w="31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3179"/>
        <w:gridCol w:w="2602"/>
      </w:tblGrid>
      <w:tr w:rsidR="00BB530F" w:rsidRPr="00BB530F" w:rsidTr="00BB53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after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although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as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because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before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even if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even though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if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in order that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once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provided that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rather than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since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so that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than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that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though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unless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until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when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whenever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where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whereas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wherever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whether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while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why</w:t>
            </w:r>
          </w:p>
        </w:tc>
      </w:tr>
    </w:tbl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</w:pPr>
      <w:r w:rsidRPr="00EC4D9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lastRenderedPageBreak/>
        <w:t>R</w:t>
      </w:r>
      <w:r w:rsidRPr="00BB530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t>elative pronoun</w:t>
      </w:r>
      <w:r w:rsidRPr="00EC4D9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t xml:space="preserve"> list</w:t>
      </w:r>
      <w:r w:rsidRPr="00BB530F">
        <w:rPr>
          <w:rFonts w:ascii="Arial" w:eastAsia="Times New Roman" w:hAnsi="Arial" w:cs="Arial"/>
          <w:b/>
          <w:color w:val="000000"/>
          <w:sz w:val="28"/>
          <w:szCs w:val="28"/>
          <w:lang w:eastAsia="id-ID"/>
        </w:rPr>
        <w:t>:</w:t>
      </w:r>
    </w:p>
    <w:tbl>
      <w:tblPr>
        <w:tblW w:w="4750" w:type="pct"/>
        <w:tblCellSpacing w:w="15" w:type="dxa"/>
        <w:tblInd w:w="31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2597"/>
        <w:gridCol w:w="3205"/>
      </w:tblGrid>
      <w:tr w:rsidR="00BB530F" w:rsidRPr="00BB530F" w:rsidTr="00BB530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that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which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whichever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who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whoever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whom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530F" w:rsidRPr="00BB530F" w:rsidRDefault="00BB530F" w:rsidP="00BB530F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</w:pP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t>whose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whosever</w:t>
            </w:r>
            <w:r w:rsidRPr="00BB530F">
              <w:rPr>
                <w:rFonts w:ascii="Arial" w:eastAsia="Times New Roman" w:hAnsi="Arial" w:cs="Arial"/>
                <w:color w:val="000000"/>
                <w:sz w:val="28"/>
                <w:szCs w:val="28"/>
                <w:lang w:eastAsia="id-ID"/>
              </w:rPr>
              <w:br/>
              <w:t>whomever</w:t>
            </w:r>
          </w:p>
        </w:tc>
      </w:tr>
    </w:tbl>
    <w:p w:rsidR="00EC4D9F" w:rsidRDefault="00EC4D9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d-ID"/>
        </w:rPr>
        <w:t>E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>xamples:</w:t>
      </w:r>
    </w:p>
    <w:p w:rsidR="00BB530F" w:rsidRPr="00BB530F" w:rsidRDefault="00BB530F" w:rsidP="00BB530F">
      <w:pPr>
        <w:shd w:val="clear" w:color="auto" w:fill="FFFFFF"/>
        <w:spacing w:beforeAutospacing="1" w:after="100" w:afterAutospacing="1" w:line="360" w:lineRule="auto"/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</w:pPr>
      <w:r w:rsidRPr="00BB530F"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  <w:t>After Amy sneezed all over the tuna salad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After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subordinate conjunction;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Amy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subject;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sneezed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verb.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</w:pPr>
      <w:r w:rsidRPr="00BB530F"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  <w:t>Until Mr. Sanchez has his first cup of coffee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Until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subordinate conjunction;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Mr. Sanchez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subject;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has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verb.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</w:pPr>
      <w:r w:rsidRPr="00BB530F">
        <w:rPr>
          <w:rFonts w:ascii="Verdana" w:eastAsia="Times New Roman" w:hAnsi="Verdana" w:cs="Arial"/>
          <w:color w:val="000000"/>
          <w:spacing w:val="15"/>
          <w:sz w:val="24"/>
          <w:szCs w:val="24"/>
          <w:lang w:eastAsia="id-ID"/>
        </w:rPr>
        <w:t>Who ate handfuls of Cheerios with his bare hands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Who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relative pronoun;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Who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subject; </w:t>
      </w:r>
      <w:r w:rsidRPr="00BB530F">
        <w:rPr>
          <w:rFonts w:ascii="Arial" w:eastAsia="Times New Roman" w:hAnsi="Arial" w:cs="Arial"/>
          <w:b/>
          <w:bCs/>
          <w:i/>
          <w:iCs/>
          <w:color w:val="1D4F92"/>
          <w:sz w:val="28"/>
          <w:szCs w:val="28"/>
          <w:lang w:eastAsia="id-ID"/>
        </w:rPr>
        <w:t>ate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= verb.</w:t>
      </w:r>
    </w:p>
    <w:p w:rsidR="00BB530F" w:rsidRPr="00BB530F" w:rsidRDefault="00BB530F" w:rsidP="00BB53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id-ID"/>
        </w:rPr>
      </w:pPr>
      <w:r w:rsidRPr="00BB530F">
        <w:rPr>
          <w:rFonts w:ascii="Arial" w:eastAsia="Times New Roman" w:hAnsi="Arial" w:cs="Arial"/>
          <w:b/>
          <w:bCs/>
          <w:color w:val="000000"/>
          <w:sz w:val="28"/>
          <w:szCs w:val="28"/>
          <w:lang w:eastAsia="id-ID"/>
        </w:rPr>
        <w:t>Remember this important point: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A subordinate clause cannot stand alone as a sentence because it </w:t>
      </w:r>
      <w:r w:rsidR="00B33CD1">
        <w:rPr>
          <w:rFonts w:ascii="Arial" w:eastAsia="Times New Roman" w:hAnsi="Arial" w:cs="Arial"/>
          <w:color w:val="000000"/>
          <w:sz w:val="28"/>
          <w:szCs w:val="28"/>
          <w:lang w:eastAsia="id-ID"/>
        </w:rPr>
        <w:t>is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not a complete thought. The reader is left wondering, "So what happened</w:t>
      </w:r>
      <w:r w:rsidR="00B33CD1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 next</w:t>
      </w:r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?" A word group that begins with a capital letter and ends with a period must contain at least one </w:t>
      </w:r>
      <w:hyperlink r:id="rId15" w:history="1">
        <w:r w:rsidRPr="00BB530F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id-ID"/>
          </w:rPr>
          <w:t>main clause</w:t>
        </w:r>
      </w:hyperlink>
      <w:r w:rsidRPr="00BB530F">
        <w:rPr>
          <w:rFonts w:ascii="Arial" w:eastAsia="Times New Roman" w:hAnsi="Arial" w:cs="Arial"/>
          <w:color w:val="000000"/>
          <w:sz w:val="28"/>
          <w:szCs w:val="28"/>
          <w:lang w:eastAsia="id-ID"/>
        </w:rPr>
        <w:t xml:space="preserve">. </w:t>
      </w:r>
    </w:p>
    <w:p w:rsidR="005242DA" w:rsidRDefault="005242DA"/>
    <w:sectPr w:rsidR="005242DA" w:rsidSect="00EC4D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30F"/>
    <w:rsid w:val="002F2FB8"/>
    <w:rsid w:val="005242DA"/>
    <w:rsid w:val="007E77BA"/>
    <w:rsid w:val="009A60BF"/>
    <w:rsid w:val="00B33CD1"/>
    <w:rsid w:val="00B9610A"/>
    <w:rsid w:val="00BB530F"/>
    <w:rsid w:val="00EC4D9F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A"/>
  </w:style>
  <w:style w:type="paragraph" w:styleId="Heading1">
    <w:name w:val="heading 1"/>
    <w:basedOn w:val="Normal"/>
    <w:link w:val="Heading1Char"/>
    <w:uiPriority w:val="9"/>
    <w:qFormat/>
    <w:rsid w:val="00BB530F"/>
    <w:pPr>
      <w:spacing w:before="315" w:after="495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000000"/>
      <w:spacing w:val="105"/>
      <w:kern w:val="36"/>
      <w:sz w:val="72"/>
      <w:szCs w:val="72"/>
      <w:u w:val="single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BB530F"/>
    <w:pPr>
      <w:spacing w:before="660" w:after="0" w:line="240" w:lineRule="auto"/>
      <w:outlineLvl w:val="3"/>
    </w:pPr>
    <w:rPr>
      <w:rFonts w:ascii="Arial" w:eastAsia="Times New Roman" w:hAnsi="Arial" w:cs="Arial"/>
      <w:b/>
      <w:bCs/>
      <w:color w:val="000000"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30F"/>
    <w:rPr>
      <w:rFonts w:ascii="Arial Black" w:eastAsia="Times New Roman" w:hAnsi="Arial Black" w:cs="Times New Roman"/>
      <w:b/>
      <w:bCs/>
      <w:color w:val="000000"/>
      <w:spacing w:val="105"/>
      <w:kern w:val="36"/>
      <w:sz w:val="72"/>
      <w:szCs w:val="72"/>
      <w:u w:val="single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BB530F"/>
    <w:rPr>
      <w:rFonts w:ascii="Arial" w:eastAsia="Times New Roman" w:hAnsi="Arial" w:cs="Arial"/>
      <w:b/>
      <w:bCs/>
      <w:color w:val="000000"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BB530F"/>
    <w:rPr>
      <w:b/>
      <w:bCs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BB53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id-ID"/>
    </w:rPr>
  </w:style>
  <w:style w:type="paragraph" w:customStyle="1" w:styleId="example">
    <w:name w:val="example"/>
    <w:basedOn w:val="Normal"/>
    <w:rsid w:val="00BB530F"/>
    <w:pPr>
      <w:spacing w:before="100" w:beforeAutospacing="1" w:after="100" w:afterAutospacing="1" w:line="360" w:lineRule="auto"/>
    </w:pPr>
    <w:rPr>
      <w:rFonts w:ascii="Verdana" w:eastAsia="Times New Roman" w:hAnsi="Verdana" w:cs="Arial"/>
      <w:color w:val="000000"/>
      <w:spacing w:val="15"/>
      <w:sz w:val="24"/>
      <w:szCs w:val="24"/>
      <w:lang w:eastAsia="id-ID"/>
    </w:rPr>
  </w:style>
  <w:style w:type="character" w:customStyle="1" w:styleId="special021">
    <w:name w:val="special_021"/>
    <w:basedOn w:val="DefaultParagraphFont"/>
    <w:rsid w:val="00BB530F"/>
    <w:rPr>
      <w:b/>
      <w:bCs/>
      <w:i/>
      <w:iCs/>
      <w:color w:val="1D4F92"/>
    </w:rPr>
  </w:style>
  <w:style w:type="character" w:styleId="Emphasis">
    <w:name w:val="Emphasis"/>
    <w:basedOn w:val="DefaultParagraphFont"/>
    <w:uiPriority w:val="20"/>
    <w:qFormat/>
    <w:rsid w:val="00BB530F"/>
    <w:rPr>
      <w:i/>
      <w:iCs/>
    </w:rPr>
  </w:style>
  <w:style w:type="character" w:styleId="Strong">
    <w:name w:val="Strong"/>
    <w:basedOn w:val="DefaultParagraphFont"/>
    <w:uiPriority w:val="22"/>
    <w:qFormat/>
    <w:rsid w:val="00BB5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2439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332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56815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4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90861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992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57967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terms/subordinateclause.htm" TargetMode="External"/><Relationship Id="rId13" Type="http://schemas.openxmlformats.org/officeDocument/2006/relationships/hyperlink" Target="http://www.chompchomp.com/terms/verb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mpchomp.com/terms/prepositionalphrase.htm" TargetMode="External"/><Relationship Id="rId12" Type="http://schemas.openxmlformats.org/officeDocument/2006/relationships/hyperlink" Target="http://www.chompchomp.com/terms/subjec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ompchomp.com/terms/completesentence.htm" TargetMode="External"/><Relationship Id="rId11" Type="http://schemas.openxmlformats.org/officeDocument/2006/relationships/hyperlink" Target="http://www.chompchomp.com/terms/relativepronoun.htm" TargetMode="External"/><Relationship Id="rId5" Type="http://schemas.openxmlformats.org/officeDocument/2006/relationships/hyperlink" Target="http://www.chompchomp.com/terms/verb.htm" TargetMode="External"/><Relationship Id="rId15" Type="http://schemas.openxmlformats.org/officeDocument/2006/relationships/hyperlink" Target="http://www.chompchomp.com/terms/mainclause.htm" TargetMode="External"/><Relationship Id="rId10" Type="http://schemas.openxmlformats.org/officeDocument/2006/relationships/hyperlink" Target="http://www.chompchomp.com/terms/subordinateconjunction.htm" TargetMode="External"/><Relationship Id="rId4" Type="http://schemas.openxmlformats.org/officeDocument/2006/relationships/hyperlink" Target="http://www.chompchomp.com/terms/subject.htm" TargetMode="External"/><Relationship Id="rId9" Type="http://schemas.openxmlformats.org/officeDocument/2006/relationships/hyperlink" Target="http://www.chompchomp.com/terms/subordinateconjunction.htm" TargetMode="External"/><Relationship Id="rId14" Type="http://schemas.openxmlformats.org/officeDocument/2006/relationships/hyperlink" Target="http://www.chompchomp.com/terms/completesent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2014-11-21T03:30:00Z</dcterms:created>
  <dcterms:modified xsi:type="dcterms:W3CDTF">2014-11-21T07:09:00Z</dcterms:modified>
</cp:coreProperties>
</file>